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11.png" ContentType="image/png"/>
  <Override PartName="/word/media/rId121.png" ContentType="image/png"/>
  <Override PartName="/word/media/rId116.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is expected to result in strong selection pressures that lead to genetic adaptation and/or the evolution of adaptive phenotypic plasticity – both of which are considered critical for population resilience to human-induced climate change</w:t>
      </w:r>
      <w:r>
        <w:t xml:space="preserve"> </w:t>
      </w:r>
      <w:r>
        <w:t xml:space="preserve">(J &amp; AP 2014; Seebacher</w:t>
      </w:r>
      <w:r>
        <w:t xml:space="preserve"> </w:t>
      </w:r>
      <w:r>
        <w:rPr>
          <w:iCs/>
          <w:i/>
        </w:rPr>
        <w:t xml:space="preserve">et al.</w:t>
      </w:r>
      <w:r>
        <w:t xml:space="preserve"> </w:t>
      </w:r>
      <w:r>
        <w:t xml:space="preserve">2015)</w:t>
      </w:r>
      <w:r>
        <w:t xml:space="preserve">. Nonetheless, the extent to which adaptive plasticity versus genetic adaptation will allow organisms to adapt to new environmental conditions is not yet clearly established</w:t>
      </w:r>
      <w:r>
        <w:t xml:space="preserve"> </w:t>
      </w:r>
      <w:r>
        <w:t xml:space="preserve">(Chevin &amp; Hoffmann 2017)</w:t>
      </w:r>
      <w:r>
        <w:t xml:space="preserve">. Without adaptive genetic or plastic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Chevin &amp; Hoffmann 2017)</w:t>
      </w:r>
      <w:r>
        <w:t xml:space="preserve">. Phenotypic plasticity is predicted to evolve when environmental variability is high but predictable</w:t>
      </w:r>
      <w:r>
        <w:t xml:space="preserve"> </w:t>
      </w:r>
      <w:r>
        <w:t xml:space="preserve">(Chevin &amp; Hoffmann 2017)</w:t>
      </w:r>
      <w:r>
        <w:t xml:space="preserv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Studies investigating reversibly plastic responses, such as acclimitisation, have primarily been focused on mean physiological responses, paying little attention to changes in physiological variability under more extreme thermal conditions</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Understanding how variability in physiological rates is affected by climate change has important implications for understanding a populations capacity for physiological traits to evolve because lack of physiological variation is expected to limit responses to selection (i.e., the opportunity for selection)</w:t>
      </w:r>
      <w:r>
        <w:t xml:space="preserve"> </w:t>
      </w:r>
      <w:r>
        <w:t xml:space="preserve">(Sanderson</w:t>
      </w:r>
      <w:r>
        <w:t xml:space="preserve"> </w:t>
      </w:r>
      <w:r>
        <w:rPr>
          <w:iCs/>
          <w:i/>
        </w:rPr>
        <w:t xml:space="preserve">et al.</w:t>
      </w:r>
      <w:r>
        <w:t xml:space="preserve"> </w:t>
      </w:r>
      <w:r>
        <w:t xml:space="preserve">2023)</w:t>
      </w:r>
      <w:r>
        <w:t xml:space="preserve">. Change is physiological variability can also inform on the extent to which populations are able to buffer against environmental change. For example, if populations are able to buffer against environmental change by increasing physiological variability, this may be a mechanism that allows populations to persist in the face of climate change.</w:t>
      </w:r>
    </w:p>
    <w:p>
      <w:pPr>
        <w:pStyle w:val="BodyText"/>
      </w:pPr>
      <w:r>
        <w:t xml:space="preserve">Here, we apply new effect sizes to: 1) re-evaluate the degree to which aquatic and terrestrial ectotherms are capable of physiological plasticity; 2) test whether the opportunity for selection on physiological traits changes as temperatures rise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97.87% of the locations.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-0.37% change in variance for freshwater systems (95% CI: -6.97 to 5.85%,</w:t>
      </w:r>
      <w:r>
        <w:t xml:space="preserve"> </w:t>
      </w:r>
      <m:oMath>
        <m:sSub>
          <m:e>
            <m:r>
              <m:t>p</m:t>
            </m:r>
          </m:e>
          <m:sub>
            <m:r>
              <m:t>M</m:t>
            </m:r>
            <m:r>
              <m:t>C</m:t>
            </m:r>
            <m:r>
              <m:t>M</m:t>
            </m:r>
            <m:r>
              <m:t>C</m:t>
            </m:r>
          </m:sub>
        </m:sSub>
      </m:oMath>
      <w:r>
        <w:t xml:space="preserve"> </w:t>
      </w:r>
      <w:r>
        <w:t xml:space="preserve">= 0.87), whereas we expect a 3.29% reduction in variance for marine systems (95% CI: -6.98 to 0.76%,</w:t>
      </w:r>
      <w:r>
        <w:t xml:space="preserve"> </w:t>
      </w:r>
      <m:oMath>
        <m:sSub>
          <m:e>
            <m:r>
              <m:t>p</m:t>
            </m:r>
          </m:e>
          <m:sub>
            <m:r>
              <m:t>M</m:t>
            </m:r>
            <m:r>
              <m:t>C</m:t>
            </m:r>
            <m:r>
              <m:t>M</m:t>
            </m:r>
            <m:r>
              <m:t>C</m:t>
            </m:r>
          </m:sub>
        </m:sSub>
      </m:oMath>
      <w:r>
        <w:t xml:space="preserve"> </w:t>
      </w:r>
      <w:r>
        <w:t xml:space="preserve">= 0.28) and a 11.84% reduction in variance for terrestrial systems (95% CI: -18.95 to -5.95%,</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10" w:name="references"/>
    <w:p>
      <w:pPr>
        <w:pStyle w:val="Heading2"/>
      </w:pPr>
      <w:r>
        <w:t xml:space="preserve">References</w:t>
      </w:r>
    </w:p>
    <w:p>
      <w:pPr>
        <w:pStyle w:val="FirstParagraph"/>
      </w:pPr>
    </w:p>
    <w:bookmarkStart w:id="109"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77"/>
    <w:bookmarkStart w:id="78"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78"/>
    <w:bookmarkStart w:id="79"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79"/>
    <w:bookmarkStart w:id="80"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0"/>
    <w:bookmarkStart w:id="8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81"/>
    <w:bookmarkStart w:id="8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82"/>
    <w:bookmarkStart w:id="8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3"/>
    <w:bookmarkStart w:id="8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4"/>
    <w:bookmarkStart w:id="8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5"/>
    <w:bookmarkStart w:id="86" w:name="ref-Merila2014"/>
    <w:p>
      <w:pPr>
        <w:pStyle w:val="Bibliography"/>
      </w:pPr>
      <w:r>
        <w:t xml:space="preserve">J, M. &amp; AP, H. (2014). Climate change, adaptation, and phenotypic plasticity: The problem and the evidence.</w:t>
      </w:r>
      <w:r>
        <w:t xml:space="preserve"> </w:t>
      </w:r>
      <w:r>
        <w:rPr>
          <w:iCs/>
          <w:i/>
        </w:rPr>
        <w:t xml:space="preserve">Evolutionary Applications</w:t>
      </w:r>
      <w:r>
        <w:t xml:space="preserve">, 7, 1–14., doi:10. 1111/eva.12137.</w:t>
      </w:r>
    </w:p>
    <w:bookmarkEnd w:id="86"/>
    <w:bookmarkStart w:id="87"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7"/>
    <w:bookmarkStart w:id="88"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8"/>
    <w:bookmarkStart w:id="89"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9"/>
    <w:bookmarkStart w:id="90"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90"/>
    <w:bookmarkStart w:id="91"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91"/>
    <w:bookmarkStart w:id="92"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92"/>
    <w:bookmarkStart w:id="93"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93"/>
    <w:bookmarkStart w:id="94"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4"/>
    <w:bookmarkStart w:id="95"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5"/>
    <w:bookmarkStart w:id="96"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6"/>
    <w:bookmarkStart w:id="97"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7"/>
    <w:bookmarkStart w:id="98"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8"/>
    <w:bookmarkStart w:id="99"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9"/>
    <w:bookmarkStart w:id="100"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00"/>
    <w:bookmarkStart w:id="101" w:name="ref-Sanderson2023"/>
    <w:p>
      <w:pPr>
        <w:pStyle w:val="Bibliography"/>
      </w:pPr>
      <w:r>
        <w:t xml:space="preserve">Sanderson, S., Bolnick, D.I., Kinnison, M.T., O’Dea, R.E., Gorné, L.D. &amp; Hendry, A.P. (2023). Contemporary changes in phenotypic variation, and the potential consequences for eco-evolutionary dynamics.</w:t>
      </w:r>
      <w:r>
        <w:t xml:space="preserve"> </w:t>
      </w:r>
      <w:r>
        <w:rPr>
          <w:iCs/>
          <w:i/>
        </w:rPr>
        <w:t xml:space="preserve">Ecology Letters</w:t>
      </w:r>
      <w:r>
        <w:t xml:space="preserve">, 26, S127–S139.</w:t>
      </w:r>
    </w:p>
    <w:bookmarkEnd w:id="101"/>
    <w:bookmarkStart w:id="102"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02"/>
    <w:bookmarkStart w:id="103"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03"/>
    <w:bookmarkStart w:id="104"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04"/>
    <w:bookmarkStart w:id="105"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05"/>
    <w:bookmarkStart w:id="106"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06"/>
    <w:bookmarkStart w:id="107"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7"/>
    <w:bookmarkStart w:id="108"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8"/>
    <w:bookmarkEnd w:id="109"/>
    <w:p>
      <w:pPr>
        <w:pStyle w:val="BodyText"/>
      </w:pPr>
    </w:p>
    <w:bookmarkEnd w:id="110"/>
    <w:bookmarkStart w:id="126" w:name="supplemental-results-and-figures"/>
    <w:p>
      <w:pPr>
        <w:pStyle w:val="Heading2"/>
      </w:pPr>
      <w:r>
        <w:t xml:space="preserve">Supplemental Results and Figures</w:t>
      </w:r>
    </w:p>
    <w:bookmarkStart w:id="115"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14" w:name="fig-s1"/>
          <w:p>
            <w:pPr>
              <w:pStyle w:val="Figure"/>
              <w:jc w:val="center"/>
            </w:pPr>
            <w:r>
              <w:drawing>
                <wp:inline>
                  <wp:extent cx="6680200" cy="4647095"/>
                  <wp:effectExtent b="0" l="0" r="0" t="0"/>
                  <wp:docPr descr="" title="" id="112" name="Picture"/>
                  <a:graphic>
                    <a:graphicData uri="http://schemas.openxmlformats.org/drawingml/2006/picture">
                      <pic:pic>
                        <pic:nvPicPr>
                          <pic:cNvPr descr="ms_files/figure-docx/fig-s1-1.png" id="113" name="Picture"/>
                          <pic:cNvPicPr>
                            <a:picLocks noChangeArrowheads="1" noChangeAspect="1"/>
                          </pic:cNvPicPr>
                        </pic:nvPicPr>
                        <pic:blipFill>
                          <a:blip r:embed="rId111"/>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14"/>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15"/>
    <w:bookmarkStart w:id="120"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9" w:name="fig-s3"/>
          <w:p>
            <w:pPr>
              <w:pStyle w:val="Figure"/>
              <w:jc w:val="center"/>
            </w:pPr>
            <w:r>
              <w:drawing>
                <wp:inline>
                  <wp:extent cx="6680200" cy="2379821"/>
                  <wp:effectExtent b="0" l="0" r="0" t="0"/>
                  <wp:docPr descr="" title="" id="117" name="Picture"/>
                  <a:graphic>
                    <a:graphicData uri="http://schemas.openxmlformats.org/drawingml/2006/picture">
                      <pic:pic>
                        <pic:nvPicPr>
                          <pic:cNvPr descr="ms_files/figure-docx/fig-s3-1.png" id="118" name="Picture"/>
                          <pic:cNvPicPr>
                            <a:picLocks noChangeArrowheads="1" noChangeAspect="1"/>
                          </pic:cNvPicPr>
                        </pic:nvPicPr>
                        <pic:blipFill>
                          <a:blip r:embed="rId116"/>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9"/>
        </w:tc>
      </w:tr>
    </w:tbl>
    <w:bookmarkEnd w:id="120"/>
    <w:bookmarkStart w:id="125"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24" w:name="fig-s2"/>
          <w:p>
            <w:pPr>
              <w:pStyle w:val="Figure"/>
              <w:jc w:val="center"/>
            </w:pPr>
            <w:r>
              <w:drawing>
                <wp:inline>
                  <wp:extent cx="6680200" cy="2788257"/>
                  <wp:effectExtent b="0" l="0" r="0" t="0"/>
                  <wp:docPr descr="" title="" id="122" name="Picture"/>
                  <a:graphic>
                    <a:graphicData uri="http://schemas.openxmlformats.org/drawingml/2006/picture">
                      <pic:pic>
                        <pic:nvPicPr>
                          <pic:cNvPr descr="ms_files/figure-docx/fig-s2-1.png" id="123" name="Picture"/>
                          <pic:cNvPicPr>
                            <a:picLocks noChangeArrowheads="1" noChangeAspect="1"/>
                          </pic:cNvPicPr>
                        </pic:nvPicPr>
                        <pic:blipFill>
                          <a:blip r:embed="rId121"/>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24"/>
        </w:tc>
      </w:tr>
    </w:tbl>
    <w:bookmarkEnd w:id="125"/>
    <w:bookmarkEnd w:id="126"/>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11" Target="media/rId111.png" /><Relationship Type="http://schemas.openxmlformats.org/officeDocument/2006/relationships/image" Id="rId121" Target="media/rId121.png" /><Relationship Type="http://schemas.openxmlformats.org/officeDocument/2006/relationships/image" Id="rId116" Target="media/rId11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2023-12-04T01:36:40Z</dcterms:created>
  <dcterms:modified xsi:type="dcterms:W3CDTF">2023-12-04T01:36:40Z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